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451 vom 12. Januar 2026</w:t>
      </w:r>
    </w:p>
    <w:p>
      <w:r>
        <w:t>BE Verwaltungsgericht, 2026-01-12, DE</w:t>
      </w:r>
    </w:p>
    <w:p>
      <w:r>
        <w:rPr>
          <w:b/>
        </w:rPr>
        <w:t xml:space="preserve">Quelle: </w:t>
      </w:r>
      <w:r>
        <w:t>https://mcp.opencaselaw.ch/entscheid/be_verwaltungsgericht_200 2025 451</w:t>
      </w:r>
    </w:p>
    <w:p>
      <w:r>
        <w:t>FR: BE_VERWALTUNGSGERICHT 200 2025 451 du 12 janvier 2026</w:t>
      </w:r>
    </w:p>
    <w:p>
      <w:r>
        <w:t>IT: BE_VERWALTUNGSGERICHT 200 2025 451 del 12 gennaio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17. Juni 2025 (act. II A42). Streitig und zu prüfen ist die Leistungspflicht der Be- schwerdegegnerin für die Folgen des Ereignisses vom 29. Mai 2023.</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 formeller Hinsicht macht der Beschwerdeführer eine Verletzung des rechtlichen Gehörs dahingehend geltend, dass die versicherungsmedi- zinische Beurteilung von Dr. med. F.________ vom 2. Juni 2025 (act. IIA M24) ohne Rücksprache mit ihm eingeholt worden sei (Beschwer- de S. 7 Ziff. 15). 2.2 2.2.1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2024 BVG Nr. 23 S. 79, 9C_437/2023 E. 5.2).</w:t>
      </w:r>
    </w:p>
    <w:p>
      <w:r>
        <w:t>Urteil des Verwaltungsgerichts des Kantons Bern vom 12. Januar 2026, UV 200 2025 451 - 5 - 2.2.2 Nach der Rechtsprechung kann eine nicht besonders schwerwie- gende Verletzung des rechtlichen Gehörs als geheilt gelten, wenn die be- troffene Person die Möglichkeit erhält, sich vor einer Beschwerdeinstanz zu äussern, die sowohl den Sachverhalt wie auch die Rechtslage frei überprü- fen kann. Die Heilung eines allfälligen Mangels soll aber die Ausnahme bleiben (BGE 137 I 195 E. 2.3.2 S. 197, 126 V 130 E. 2b S. 132; SVR 2021 IV Nr. 43 S. 139, 9C_555/2020 E. 4.4.1, 2020 IV Nr. 57 S. 193, 8C_25/2020 E. 3.3.1). Von einer Rückweisung der Sache zur Gewährung des rechtlichen Gehörs an die Verwaltung ist im Sinne einer Heilung des Mangels selbst bei einer schwerwiegenden Verletzung des rechtlichen Gehörs abzusehen, wenn und soweit die Rückweisung zu einem formalisti- schen Leerlauf und damit zu unnötigen Verzögerungen führen würde, die mit dem (der Anhörung gleichgestellten) Interesse der betroffenen Partei an einer beförderlichen Beurteilung der Sache nicht zu vereinbaren wären (BGE 137 I 195 E. 2.3.2 S. 197; SVR 2021 IV Nr. 43 S. 139, 9C_555/2020 E. 4.4.1, 2020 IV Nr. 57 S. 193, 8C_25/2020 E. 3.3.1). 2.3 Es ist festzuhalten, dass in der versicherungsmedizinischen Beurtei- lung von Dr. med. F.________ vom 2. Juni 2025 (act. IIA M24), welche dem Beschwerdeführer erst mit dem nunmehr angefochtenen Einspra- cheentscheid vom 17. Juni 2025 (act. II A42) zugestellt wurde, im Wesent- lichen zu den Argumenten des Beschwerdeführers im Einspracheverfahren Stellung genommen wurde und neue Tatsachen darin nicht enthalten sind. Soweit eine Gehörsverletzung bejaht werden sollte (vgl. dazu Beschwerde- antwort S. 2 Ziff. I.3), wäre diese als nicht besonders schwerwiegend und aufgrund der uneingeschränkten Kognition des Verwaltungsgerichts im vorliegenden Verfahren als geheilt zu betrachten (BGE 132 V 387 E. 5.1 f. S. 390). Eine Rückweisung der Sache zur Gewährung des rechtlichen Gehörs käme im Übrigen einem formalistischen Leerlauf gleich. Der Be- schwerdeführer beantragt denn auch nicht etwa die Rückweisung zur Ge- währung des rechtlichen Gehörs und gibt damit auch nicht zu erkennen, dass ihm die formelle Gehörsverletzung wichtiger wäre als ein rascher Ab- schluss des Verfahrens. Für eine Aufhebung des angefochtenen Einspra- cheentscheids aus formellen Gründen besteht damit kein Anlass.</w:t>
      </w:r>
    </w:p>
    <w:p>
      <w:r>
        <w:t>Urteil des Verwaltungsgerichts des Kantons Bern vom 12. Januar 2026, UV 200 2025 451 - 6 - 3. 3.1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Fehlt eines dieser Elemente, ist das Ereignis nicht als Unfall zu qualifizieren, sondern die durch das Ereignis verursachte Gesundheitsbeeinträchtigung gegebe- nenfalls als Krankheit (Art. 3 Abs. 1 ATSG; BGE 150 V 229 E. 3 S. 230). 3.2 3.2.1 Der äussere Faktor ist zentrales Begriffsmerkmal eines jeden Unfall- ereignisses; er ist Gegenstück zur – den Krankheitsbegriff konstituieren- den – inneren Ursache. Der äussere Faktor ist ungewöhnlich, wenn er – nach einem objektiven Massstab – nicht mehr im Rahmen dessen liegt, was für den jeweiligen Lebensbereich alltäglich und üblich ist. Das Merkmal des Ungewöhnlichen macht den alltäglichen Vorgang zum einmaligen Vor- fall.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 ren Faktor nichts; Unfall setzt vielmehr begrifflich voraus, dass das exoge- ne Element so ungewöhnlich ist, dass eine endogene Verursachung ausser Betracht fällt (BGE 134 V 72 E. 4.1 S. 76 und E. 4.1.1 S. 77). Das Be- griffsmerkmal der Ungewöhnlichkeit bezieht sich nicht auf die Wirkung des äusseren Faktors, sondern nur auf diesen selber. Ohne Belang für die Prü- fung der Ungewöhnlichkeit ist insoweit, dass der äussere Faktor allenfalls schwerwiegende, unerwartete Folgen nach sich zog. Ausschlaggebend ist also, dass sich der äussere Faktor vom Normalmass an Umwelteinwirkun- gen auf den menschlichen Körper abhebt. Ungewöhnliche Auswirkungen allein begründen keine Ungewöhnlichkeit (BGE 150 V 229 E. 4.1.1 S. 231,</w:t>
      </w:r>
    </w:p>
    <w:p>
      <w:r>
        <w:t>Urteil des Verwaltungsgerichts des Kantons Bern vom 12. Januar 2026, UV 200 2025 451 - 7 - 134 V 72 E. 4.3.1 S. 79; SVR 2021 UV Nr. 12 S. 59, 8C_368/2020 E. 4.2, 2020 UV Nr. 32 S. 129, 8C_707/2019 E. 3). 3.2.2 Das Merkmal des ungewöhnlichen äusseren Faktors kann auch in einer unkoordinierten Bewegung bestehen. Bei Körperbewegungen gilt dabei der Grundsatz, dass das Erfordernis der äusseren Einwirkung ledig- lich dann erfüllt ist, wenn ein in der Aussenwelt begründeter Umstand den natürlichen Ablauf einer Körperbewegung gleichsam "programmwidrig" beeinflusst hat. Bei einer solchen unkoordinierten Bewegung ist der unge- wöhnliche äussere Faktor zu bejahen; denn der äussere Faktor – Verände- rung zwischen Körper und Aussenwelt – ist wegen der erwähnten Pro- grammwidrigkeit zugleich ein ungewöhnlicher Faktor (BGE 130 V 117 E. 2.1 S. 118; SVR 2023 UV Nr. 13 S. 40, 8C_24/2022 E. 3.2). Dies trifft beispielsweise dann zu, wenn die versicherte Person stolpert, ausgleitet oder an einem Gegenstand anstösst oder wenn sie, um ein Ausgleiten zu verhindern, eine reflexartige Abwehrhaltung ausführt oder auszuführen versucht (SVR 2023 UV Nr. 13 S. 40, 8C_24/2022 E. 3.2; RKUV 2004 U 502 S. 183 E. 4.1, 1999 U 345 S. 422 E. 2b). 3.2.3 Die einzelnen Umstände des Unfallgeschehens sind vom Leis- tungsansprecher oder der Leistungsansprecherin glaubhaft zu machen. Wird dieser Forderung nicht nachgekommen, indem unvollständige, unge- naue oder widersprüchliche Angaben gemacht werden, die das Bestehen eines unfallmässigen Schadens als unglaubwürdig erscheinen lassen, be- steht keine Leistungspflicht des Unfallversicherers. Im Streitfall obliegt es dem Gericht zu beurteilen, ob die einzelnen Voraussetzungen des Unfall- begriffs erfüllt sind (BGE 116 V 136 E. 4b S. 140, 114 V 298 E. 5b S. 305; SVR 2016 UV Nr. 44 S. 145, 8C_358/2016 E. 3.4). Bei sich widersprechenden Angaben des Versicherten über den Unfallher- 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(BGE 121 V 45 E. 2a S. 47). Dabei ist zu unter- scheiden zwischen späteren Präzisierungen einerseits und später davon abweichenden Angaben andererseits. Letztere bleiben rechtsprechungs-</w:t>
      </w:r>
    </w:p>
    <w:p>
      <w:r>
        <w:t>Urteil des Verwaltungsgerichts des Kantons Bern vom 12. Januar 2026, UV 200 2025 451 - 8 - gemäss unbeachtlich (Urteil des Bundesgerichts [BGer] 8C_225/2019 vom 20. August 2019 E. 3.3). Das Gericht stellt auf jene Sachverhaltsdarstellung ab, die von allen möglichen die wahrscheinlichste ist (Urteil des BGer 8C_283/2023 vom 15. Mai 2024 E. 5.1; vgl. ANDRÉ NABOLD, Rechtspre- chung des Bundesgerichts zum Bundesgesetz über die Unfallversicherung, 5. Aufl. 2024, S. 30). 3.3 3.3.1 Gemäss Art. 6 Abs. 2 UVG erbringt die Versicherung ihre Leistun- gen auch bei folgenden Körperschädigungen, sofern sie nicht vorwiegend auf Abnützung oder Erkrankung zurückzuführen sind: Knochenbrüche (lit. a), Verrenkungen von Gelenken (lit. b), Meniskusrisse (lit. c), Muskelris- se (lit. d), Muskelzerrungen (lit. e), Sehnenrisse (lit. f), Bandläsionen (lit. g), Trommelfellverletzungen (lit. h). 3.3.2 Nach Meldung einer Listenverletzung gemäss Art. 6 Abs. 2 UVG hat der Unfallversicherer die genauen Begleitumstände abzuklären. Ist die Lis- tenverletzung auf ein Unfallereignis im Sinne von Art. 4 ATSG zurückzu- führen, so ist der Unfallversicherer solange leistungspflichtig, bis der Unfall nicht mehr die natürliche und adäquate Ursache darstellt, der Gesundheits- schaden also nur noch und ausschliesslich auf unfallfremden Ursachen beruht. Sind hingegen nicht sämtliche Kriterien des Unfallbegriffs nach Art. 4 ATSG erfüllt, so wird der Unfallversicherer für eine Listenverletzung nach Art. 6 Abs. 2 UVG grundsätzlich leistungspflichtig, sofern er nicht den Nachweis dafür erbringt, dass die Verletzung vorwiegend auf Abnützung oder Erkrankung zurückzuführen ist (BGE 146 V 51 E. 9.1 S. 70). 3.3.3 Insoweit führt grundsätzlich bereits die Tatsache, dass eine in Art. 6 Abs. 2 lit. a - h UVG genannte Körperschädigung vorliegt, nunmehr zur Vermutung, es handle sich hierbei um eine unfallähnliche Körperschädi- gung, die vom Unfallversicherer übernommen werden muss. Indessen er- gibt sich aus der in Art. 6 Abs. 2 UVG vorgesehenen Möglichkeit des Ge- genbeweises weiterhin die Notwendigkeit der Abgrenzung der vom Unfall- versicherer zu übernehmenden unfallähnlichen Körperschädigung von der abnützungs- und erkrankungsbedingten Ursache einer Listenverletzung und damit letztlich zur Leistungspflicht des Krankenversicherers. Insoweit</w:t>
      </w:r>
    </w:p>
    <w:p>
      <w:r>
        <w:t>Urteil des Verwaltungsgerichts des Kantons Bern vom 12. Januar 2026, UV 200 2025 451 - 9 - ist die Frage nach einem initialen erinnerlichen und benennbaren Ereignis – nicht zuletzt auch aufgrund der Bedeutung eines zeitlichen Anknüpfungs- punktes – auch nach der UVG-Revision relevant. Lässt sich nach Eingang der Meldung im Rahmen der Abklärungspflicht (Art. 43 Abs. 1 ATSG)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 schiedenen Indizien, die für oder gegen Abnützung oder Erkrankung spre- chen, müssen aus medizinischer Sicht gewichtet werden. Damit der Entlas- tungsbeweis gelingt, hat der Unfallversicherer gestützt auf beweiskräftige ärztliche Einschätzungen – mit dem Beweisgrad der überwiegenden Wahr- scheinlichkeit – nachzuweisen, dass die fragliche Listenverletzung vorwie- gend, d.h. im gesamten Ursachenspektrum zu mehr als 50 %, auf Abnüt- zung oder Erkrankung zurückzuführen ist. Besteht das Ursachenspektrum einzig aus Elementen, die für Abnützung oder Erkrankung sprechen, so folgt daraus unweigerlich, dass der Entlastungsbeweis des Unfallversiche- rers erbracht ist und sich weitere Abklärungen erübrigen (BGE 146 V 51 E. 8.6 S. 69). 4. 4.1 Zu prüfen ist zunächst, ob das Ereignis vom 29. Mai 2023 als Unfall im Rechtssinne (vgl. E. 3.2 f. hiervor) zu qualifizieren ist. Zum Ereignisher- gang lässt sich den Akten Folgendes entnehmen: - Gemäss undatierter, nach Angaben der Beschwerdegegnerin am 21. September 2023 eingereichter Unfallmeldung habe der Beschwerde- führer sein Mountainbike in den Kofferraum seines SUV "gelegt" und sich dabei das rechte Handgelenk verletzt (act. II A1; vgl. act. II A12). - Die medizinische Erstbehandlung erfolgte gemäss "erstem Arztzeugnis UVG" vom 2. Oktober 2023 (act. II M1) am 31. Juli 2023 durch Dr. med.</w:t>
      </w:r>
    </w:p>
    <w:p>
      <w:r>
        <w:t>Urteil des Verwaltungsgerichts des Kantons Bern vom 12. Januar 2026, UV 200 2025 451 - 10 - C.________ (Ziff. 1), wobei der Beschwerdeführer zum Ereignishergang angegeben hat ("Angaben der verunfallten Person"), an Pfingsten beim Einladen eines Fahrrades ins Auto eine ungünstige Bewegung gemacht und sofort einen einschiessenden Schmerz am rechten Handgelenk ver- spürt zu haben (Ziff. 2). Gemäss weiterem Bericht desselben Arztes vom</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fbis ATSG (Umkehrschluss; vgl. auch BBl 2018 1639) sind keine Verfahrenskosten zu erheben.</w:t>
      </w:r>
    </w:p>
    <w:p>
      <w:r>
        <w:rPr>
          <w:b/>
        </w:rPr>
        <w:t>E. 6.2</w:t>
      </w:r>
    </w:p>
    <w:p>
      <w:r>
        <w:t>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Dies gilt unabhän- gig davon, ob die Rückweisung beantragt oder ob das entsprechende Be- gehren im Haupt- oder im Eventualantrag gestellt wird (SVR 2020 KV Nr. 23 S. 107, 9C_805/2019 E. 11.1). Mit nicht zu beanstandender Kostennote vom 1. September 2025 hat Rechtsanwältin MLaw B.________ ein Honorar von Fr. 1'875.-- (7 Stunden à Fr. 250.–), eine Auslagenpauschale von Fr. 56.25 (3 % vom Honorar) sowie die Mehrwertsteuer (MWST) von Fr. 156.45 geltend gemacht. Der gesamte Parteikostenersatz ist somit auf Fr. 2'087.70 (inkl. Auslagen und MWST) festzusetzen. Demnach entscheidet das Verwaltungsgericht: 1. In Gutheissung der Beschwerde wird der Einspracheentscheid der AXA Versicherungen AG vom 17. Juni 2025 aufgehoben und die Sa- che an die Beschwerdegegnerin zurückgewiesen, damit sie – nach Vornahme der Abklärungen im Sinne der Erwägungen – neu verfüge.</w:t>
      </w:r>
    </w:p>
    <w:p>
      <w:r>
        <w:t>Urteil des Verwaltungsgerichts des Kantons Bern vom 12. Januar 2026, UV 200 2025 451 - 22 - 2. Es werden keine Verfahrenskosten erhoben. 3. Die Beschwerdegegnerin hat dem Beschwerdeführer die Parteikosten, gerichtlich bestimmt auf Fr. 2'087.70 (inkl. Auslagen, MWST), zu erset- zen. 4. Zu eröffnen (R): - Rechtsanwältin MLaw B.________ z.H. des Beschwerdeführers - AXA Versicherungen AG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12. Januar 2026, UV 200 2025 451 - 4 -</w:t>
      </w:r>
    </w:p>
    <w:p>
      <w:r>
        <w:rPr>
          <w:b/>
        </w:rPr>
        <w:t>E. 14</w:t>
      </w:r>
    </w:p>
    <w:p>
      <w:r>
        <w:t>Dezember 2023 (act. II M2) sei es zu einer ungünstigen Bewegung gekommen, als dem Beschwerdeführer beim Einladen das Fahrrad habe "entgleiten" wollen (Ziff. 2). - Befragt zum detaillierten Hergang des Ereignisses erwähnte der Be- schwerdeführer am 29. November 2023 einen "Sturz beim Mountainbi- ken", weil er habe bremsen müssen und so den Halt verloren habe. Es sei zu einer Belastung der rechten Hand und des rechten Arms mit so- fortigem Auftreten von Schmerzen gekommen und beim späteren Verla- den des Bikes habe er wieder einen gleichen "Stich und Schmerz" ge- spürt (act. II A6). - Im Bericht der Handchirurgie des Spitals G.________ vom 11. Januar 2024 wird anamnestisch festgehalten, der Beschwerdeführer habe am 29. Mai 2023 nach einer Mountainbiketour sein Mountainbike ins Auto verladen wollen, wobei es zu einer "ungünstigen Distorsionsbewegung im Bereich des rechten Handgelenkes" gekommen sei und er einen ste- chenden Schmerz verspürt habe (act. II M3). - Im Arthro-MRI-Abklärungsbericht der Universitätsklinik H.________ vom 26. Januar 2024 findet sich unter "klinische Angaben" der Hinweis, dass der Beschwerdeführer am 29. Mai 2023 "beim Entladen des Wohnbe- reichs (sic!) ins Auto" plötzlich einen stechenden Schmerz im rechten Handgelenk unter Belastung verspürt habe (act. II M5), wogegen im Sprechstundenbericht derselben Einrichtung vom 6. März 2024 ana- mnestisch festgehalten wird, beim Verladen des Mountainbikes sei es "vermutlich zu einer ungünstigen Bewegung" gekommen (act. II M7). - Mit E-Mail vom 8. Mai 2024 sah sich der Beschwerdeführer veranlasst, seine Ausführungen zum "Unfallhergang" wie folgt zu präzisieren: Beim Verladen des Fahrrads in sein Auto sei er mit der rechten Hand vom Rahmen abgerutscht und habe das Fahrrad nachfassen resp. auffangen</w:t>
      </w:r>
    </w:p>
    <w:p>
      <w:r>
        <w:t>Urteil des Verwaltungsgerichts des Kantons Bern vom 12. Januar 2026, UV 200 2025 451 - 11 - müssen, damit es nicht heruntergefallen sei, wobei es bei dieser Bewe- gung zum Riss des Bandes am rechten Handgelenk gekommen sei (act. II A10). 4.2 Die in den Akten liegenden Schilderungen zum Ereignis vom 29. Mai 2023 weichen inhaltlich in der Gesamtbetrachtung erheblich von- einander ab (Fahrrad ins Auto legen, ungünstige Bewegung mit einschies- sendem Schmerz, Sturz beim Mountainbiken, Abrutschen der Hand vom Rahmen mit Auffangen und Nachfassen). Angesichts dieser unterschiedli- chen Darstellungen ist gestützt auf die Akten immerhin ein bestimmtes Er- eignis zu bejahen (Verladen des Bikes mit Auftreten von Schmerzen am 29. Mai 2023). Hingegen ist ein ungewöhnlicher äusserer Faktor (vgl. E. 3.2.1 f. hiervor) nicht mit überwiegender Wahrscheinlichkeit erstellt, dies namentlich mit Blick auf die in der Unfallmeldung (Fahrrad ins Auto legen; act. II A1) und gegenüber dem erstbehandelnden Arzt (ungünstige Bewe- gung; act. II M1) gemachten Angaben, welche als solche der ersten Stunde (vgl. E. 3.2.3 hiervor) gelten und keinen Hinweis auf eine Programmwidrig- keit – eine solche ist durch eine blosse "ungünstige Bewegung" nicht gege- ben – enthalten. Ein allfälliges Abrutschen des Fahrrads hat der Beschwer- deführer auch weder gegenüber den Ärzten der Handchirurgie des Spitals G.________ (act. II M3) noch der Universitätsklinik H.________ (act. II M57; vgl. auch act. II M5) erwähnt; solches ist deren Berichten je- denfalls nicht zu entnehmen. Erst nach erfolgter (formloser) Leistungsab- lehnung (act. II A8) und damit allenfalls beeinflusst von versicherungsrecht- lichen Überlegungen präzisierte der Beschwerdeführer den "Unfallvorgang" dahingehend, dass er beim Verladen des Fahrrads mit der rechten Hand vom Rahmen abgerutscht sei. Damit erweist sich vorliegend das Merkmal der Ungewöhnlichkeit nicht als überwiegend wahrscheinlich, womit ein Un- fall im Sinne von Art. 4 ATSG zu verneinen ist und die Ablehnung der Leis- tungspflicht gestützt auf Art. 6 Abs. 1 UVG i.V.m. Art. 4 ATSG zu Recht erfolgte.</w:t>
      </w:r>
    </w:p>
    <w:p>
      <w:r>
        <w:t>Urteil des Verwaltungsgerichts des Kantons Bern vom 12. Januar 2026, UV 200 2025 451 - 12 - 5. 5.1 Umstritten ist weiter ein Anspruch auf Versicherungsleistungen nach Art. 6 Abs. 2 UVG (unfallähnliche Körperschädigung [vgl. E. 3.3 hiervor]). In medizinischer Hinsicht ist den Akten im Wesentlichen das Folgende zu entnehmen: 5.1.1 Dr. med. C.________ befundete bzw. diagnostizierte anlässlich der Erstkonsultation vom 31. Juli 2023 Schmerzen im Bereich des rechten Handgelenks bei Dorsalextension und Druckdolenz über dem Handgelenk- spalt, DD Überdehnung bzw. posttraumatische Tendinitis, verneinte aber eine Schwellung (Berichte vom 2. Oktober und 14. Dezember 2023; act. II M1 f. je Ziff. 4 f.). 5.1.2 Wegen persistierender belastungsabhängiger Schmerzen im rech- ten Handgelenk erfolgte eine Überweisung an die Handchirurgie des Spi- tals G.________ (vgl. act. II M2/2 Ziff. 7). Die noch im Bericht vom 11. Ja- nuar 2024 gestellte Verdachtsdiagnose einer scapholunären Bandläsion rechts nach Distorsionsverletzung des rechten Handgelenks vom 29. Mai 2023 (act. II M3) konnte nach erfolgter Arthro-MRI-Abklärung in der Univer- sitätsklinik H.________ (Befund: ausgeprägte Partialruptur des SL-Bandes mit partiellen Vernarbungen und Tendenz zur DISI-Fehlstellung, jedoch keine Knorpelschäden [act. II M5]) bestätigt werden (Bericht vom 30. Janu- ar 2024; act. II M4). 5.1.3 PD Dr. med. D.________ bestätigte in der Aktenbeurteilung vom</w:t>
      </w:r>
    </w:p>
    <w:p>
      <w:r>
        <w:rPr>
          <w:b/>
        </w:rPr>
        <w:t>E. 19</w:t>
      </w:r>
    </w:p>
    <w:p>
      <w:r>
        <w:t>Februar 2024 das Vorliegen gesicherter Körperschädigungen gemäss Art. 6 Abs. 2 UVG in Form einer Bandläsion, welche er vorwiegend (&gt; 50 %) auf Abnützung oder Erkrankung zurückführte. Der initiale Ereig- nishergang mit einschiessendem Schmerz beim Einladen eines Fahrrads in ein Auto sei nicht für die vorliegende Verletzung verantwortlich. Das klini- sche Bild bei einem akuten Trauma sei eine deutliche Schwellung mit Schmerzen am Handgelenk, die häufig zu einer zeitnahen Konsultation und Arbeitsunfähigkeit führten, was im vorliegenden Fall nicht dokumentiert sei. Vielmehr liege eine vorangegangene Schädigung mit einer Instabilität im scapholunären Bandapparat vor. Eine solche Schädigung werde durch</w:t>
      </w:r>
    </w:p>
    <w:p>
      <w:r>
        <w:t>Urteil des Verwaltungsgerichts des Kantons Bern vom 12. Januar 2026, UV 200 2025 451 - 13 - repetitive Mikrotraumen wie z.B. axiale Schläge auf das Handgelenk beim intensiven Biken verursacht (act. II M6). 5.1.4 Im Schreiben vom 14. Mai 2024 vertrat Dr. med. I.________, Fach- arzt für Orthopädische Chirurgie und Traumatologie des Bewegungsappa- rates sowie für Handchirurgie, leitender Arzt Handchirurgie des Spitals G.________, die Meinung, die scapholunäre Bandläsion sei durchaus auf das Ereignis vom 29. Mai 2024 zurückzuführen, wogegen ein degenerativ bedingter Riss des scapholunären Ligaments bei einem 47-jährigen Patien- ten ohne jegliche Begleiterkrankungen sehr unwahrscheinlich erscheine. Zudem hätten im Arthro-MRI des rechten Handgelenks vom 25. Januar 2024 (vgl. act. II M5) auch keine relevanten degenerativen Veränderungen (z.B. grössere Knorpelschäden) nachgewiesen werden können (act. II M11). 5.1.5 Hierzu Stellung nehmend wiederholte PD Dr. med. D.________ in der Aktenbeurteilung vom 20. Mai 2024, dass unter "degenerativ" eine Ab- nützung durch repetitive Mikrotraumen (beim Biken) zu verstehen sei. Knorpelschäden seien Spätfolgen. Der initial geschilderte Ereignismecha- nismus, der Verlauf und die spätere Bildgebung ergäben das Bild eines Vorzustandes der scapholunären Dissoziation, sei es durch einen früheren Unfall oder durch Degeneration im Sinne von repetitiven Mikrotraumen bei der sportlichen Aktivität (act. II M12). 5.1.6 Zu Handen des Beschwerdeführers nahm Dr. med. E.________ am 2. August 2024 eine chirurgisch-versicherungsmedizinische Beurteilung vor. Sie hielt fest, es sei nicht wegzudiskutieren, dass sowohl die hausärzt- liche Erstkonsultation (vgl. act. II M1 f.) als auch die Unfallmeldung (vgl. act. II A1) mit Latenz erfolgt seien, doch würden nicht knöcherne Handver- letzungen bei persistierenden Beschwerden meistens postprimär diagnosti- ziert. Acht Monate posttraumatisch seien bildgebend (vgl. act. II M5) keine traumatischen Faktoren mehr nachweisbar. Erfahrungsgemäss seien TFCC-Läsionen im Bereich der radialen Insertion als auch im Bereich des styloidalen Zügels in der Regel traumatisch verursacht. Aus chirurgischer Sicht sei acht Monate post Trauma eine Kombinationsverletzung des SL- Bandes und des TFCC-Komplexes ausgewiesen, wie es typisch sei für einen massgebenden Impact, wie er im Rahmen eines Mountainbikestur-</w:t>
      </w:r>
    </w:p>
    <w:p>
      <w:r>
        <w:t>Urteil des Verwaltungsgerichts des Kantons Bern vom 12. Januar 2026, UV 200 2025 451 - 14 - zes nachvollzogen werden könne. Die Verletzung könne aber nicht datiert werden und der im Rahmen der Unfallmeldung geschilderte Ereignisher- gang passe nicht auf das radiologisch ausgewiesene Ausmass der Verlet- zung. Im Rahmen der Unfallkausalität in der Listendiagnose sei insbeson- dere der degenerative Zustand massgebend, weniger der Ereignishergang. Nichtsdestotrotz habe man sich bei der Beschwerdegegnerin auf die Aus- sage der ersten Stunde verlassen, wobei im Rahmen des Verladens eines Mountainbikes in einen Kofferraum durchaus belastende Rotationsbewe- gungen im Bereich der Handgelenke ausgeführt würden, aufgrund derer es zwar möglich, wenngleich nicht die Regel sei, dass SL-Bandläsionen auf- träten. Berücksichtige man (zusätzlich) den radiologischen Befund, müsse darauf hingewiesen werden, dass sich eine Degeneration im Bereich der Handwurzel resp. des Handgelenks nicht einzig über eine isolierte SL- Bandläsion manifestiere. Im Gegenteil, isolierte SL-Bandläsionen seien in der Regel traumatisch verursacht. Im Bereich des rechten Handgelenks und der rechten Handwurzel seien bildgebend keine arthrotischen Verän- derungen ausgewiesen. Es könne also nicht beurteilt werden, dass die SL- Bandläsion vorwiegend degenerativ verursacht sei. Bei einer degenerativ verursachten SL-Bandläsion löse sich das SL-Band praktisch auf und sei nicht mehr darstellbar. Insbesondere degenerativ verursachte SL-Bandlä- sionen wiesen dementsprechend keinen Bandstumpf auf. Vorliegend sei ein distaler, dorsal gelegener SL-Bandstumpf am Os scaphoideum über einen Mitek-Anker refixiert worden (vgl. Operationsbericht der Handchirur- gie des Spitals G.________ vom 7. Juni 2024; act. II M13). Bei einer schon länger bestehenden Bandläsion würde man zudem deutlichere Knorpel- schäden erwarten. Diese Tatsachen sprächen für eine unfallkausale und gegen eine degenerative SL-Bandläsion (act. II M16). 5.1.7 PD Dr. med. D.________ stimmte in der Aktenbeurteilung vom</w:t>
      </w:r>
    </w:p>
    <w:p>
      <w:r>
        <w:rPr>
          <w:b/>
        </w:rPr>
        <w:t>E. 21</w:t>
      </w:r>
    </w:p>
    <w:p>
      <w:r>
        <w:t>Oktober 2024 mit Dr. med. E.________ dahingehend überein, dass es sich bei einer nichtknöchernen Handverletzung häufig nicht um eine Dia- gnose der ersten Stunde handle. In Abrede stelle er indessen einen mass- gebenden Impact. Unter degenerativ sei die repetitive Belastung des Ban- des, die dessen vorgängige Schwächung verursacht habe, zu verstehen. Die nachträgliche Korrektur des Unfallmechanismus nach sechs Monaten erscheine unglaubwürdig. Niemand wisse, wieviel Gewicht bei einer Rotati-</w:t>
      </w:r>
    </w:p>
    <w:p>
      <w:r>
        <w:t>Urteil des Verwaltungsgerichts des Kantons Bern vom 12. Januar 2026, UV 200 2025 451 - 15 - onsbewegung des Handgelenks zur Läsion eines gesunden SL-Bandes nötig sei. Die Gewichtsangaben zum Mountainbike liessen aber zusätzliche Zweifel an der Integrität des SL-Bandes anlässlich des Ereignisses auf- kommen (act. II M21). 5.1.8 Dr. med. F.________ kam in der Aktenbeurteilung vom 2. Juni 2025 zum Schluss, bei einer Hochrisikoexposition für das Handgelenk durch Mountainbike seien die anamnestischen Abklärungen über eine Vorschädi- gung nicht befriedigend ausgefallen. Ein klassischer Sturz auf die dorsalex- tendierte Hand sei nachträglich einmal genannt, nicht aber glaubwürdig ausgewiesen worden. Das Nachfassen am Fahrradrahmen entspreche nicht einer relevanten supraphysiologischen Belastung für das SL-Band bzw. das Handgelenk. Die Literatur berichte über nicht-traumatische Ursa- chen einer isolierten Schädigung des SL-Ligaments. Eine frische traumati- sche Genese sei unter Würdigung aller Aspekte nicht mit dem Grad der überwiegenden Wahrscheinlichkeit nachvollziehbar. Die Indizien für eine frühere Traumatisierung oder chronische Abnützung bekämen ein Gewicht, das die Aussage vertretbar mache, dass es sich vorliegend um eine solche handle (act. II M24). 5.2 Zu Recht unbestritten ist, dass mit der diagnostizierten scapho- lunären Bandläsion am Handgelenk rechts eine Listenverletzung gemäss Art. 6 Abs. 2 lit. g UVG (vgl. E. 3.3.1 hiervor) vorliegt. Danach ist der Unfall- versicherer grundsätzlich leistungspflichtig, sofern er nicht den Nachweis dafür erbringt, dass die Verletzung vorwiegend (zu mehr als 50 %) auf Ab- nützung oder Erkrankung zurückzuführen ist (vgl. E. 3.3.2 i.f. hiervor). Ent- sprechend ist nachfolgend gestützt auf die im Recht liegenden Berichte (vgl. E. 5.1.1 ff.) die Frage nach dem Kausalanteil krankheitsbedingter Fak- toren am Beschwerdebild gemäss Art. 6 Abs. 2 lit. g UVG (Bandläsion) zu beantworten. Diesbezüglich sieht die Beschwerdegegnerin den Entlas- tungsbeweis einer vorwiegend auf Abnützung zurückzuführenden Schädi- gung mit Verweis auf die Einschätzungen von PD Dr. med. D.________ (vgl. E. 5.1.3, 5.1.5 und 5.1.7 hiervor) und Dr. med. F.________ (vgl. E. 5.1.8 hiervor) als erbracht. Demgegenüber geht der Beschwerdeführer von einer (rein) traumatischen Verursachung aus, wobei er sich auf die Beurteilungen seines behandelnden Arztes Dr. med. I.________ (vgl.</w:t>
      </w:r>
    </w:p>
    <w:p>
      <w:r>
        <w:t>Urteil des Verwaltungsgerichts des Kantons Bern vom 12. Januar 2026, UV 200 2025 451 - 16 - E. 5.1.5 hiervor) sowie der von ihm beauftragten Dr. med. E.________ (vgl. E. 5.1.6 hiervor) beruft. 5.3 5.3.1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5.3.2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(SVR 2020 IV Nr. 38 S. 133, 9C_651/2019 E. 4.3). 5.3.3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Trotz dieser grundsätzlichen Beweiseig-</w:t>
      </w:r>
    </w:p>
    <w:p>
      <w:r>
        <w:t>Urteil des Verwaltungsgerichts des Kantons Bern vom 12. Januar 2026, UV 200 2025 451 - 17 - nung kommt den Berichten versicherungsinterner medizinischer Fachper- sonen praxisgemäss nicht dieselbe Beweiskraft zu wie einem gerichtlichen oder im Verfahren nach Art. 44 ATSG vom Versicherungsträger veranlass- 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 rungsinternen ärztlichen Feststellungen, so sind ergänzende Abklärungen vorzunehmen. Insbesondere sind die von der versicherten Person aufge- legten Berichte der behandelnden Ärztinnen und Ärzte mitzuberücksichti- 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 che Zweifel auszuräumen. Vielmehr wird das Gericht entweder ein Ge- richtsgutachten anzuordnen oder die Sache an den Versicherungsträger zurückzuweisen haben, damit dieser im Verfahren nach Art. 44 ATSG eine Begutachtung veranlasst (BGE 145 V 97 E. 8.5 S. 105, 142 V 58 E. 5.1 S. 65, 139 V 225 E. 5.2 S. 229, 135 V 465 E. 4.4 - 4.6 S. 469; Urteil des BGer 8C_434/2023, 8C_436/2023 vom 10. April 2024 E. 4.3, nicht publ. in: BGE 150 V 188, aber in: SVR 2024 UV Nr. 27 S. 107). 5.3.4 Solange keine konkreten Anhaltspunkte ersichtlich sind, welche die Glaubwürdigkeit der Atteste eines Hausarztes oder einer Hausärztin zu erschüttern vermöchten, ist es unzulässig, deren Angaben bei der Beweis- würdigung unter Hinweis auf ihre Stellung und unter Berufung auf die fach- liche Kompetenz der Ärzte und Ärztinnen einer Universitätsklinik ausser Acht zu lassen (Urteil des BGer 8C_278/2011 vom 26. Juli 2011 E. 5.3). In Bezug auf Atteste von Hausärzten darf und soll jedoch das Gericht der Er- fahrungstatsache Rechnung tragen, dass Hausärzte mitunter im Hinblick auf ihre auftragsrechtliche Vertrauensstellung in Zweifelsfällen eher zu- gunsten ihrer Patienten aussagen (BGE 125 V 351 E. 3b cc S. 353; SVR 2015 IV Nr. 26 S. 78, 8C_616/2014 E. 5.3.3.3). Dies gilt nicht nur für den allgemein praktizierenden Hausarzt, sondern ebenso für den behandelnden Spezialarzt und erst recht für den schmerztherapeutisch tätigen Arzt mit seinem besonderen Vertrauensverhältnis und dem Erfordernis, den geklag-</w:t>
      </w:r>
    </w:p>
    <w:p>
      <w:r>
        <w:t>Urteil des Verwaltungsgerichts des Kantons Bern vom 12. Januar 2026, UV 200 2025 451 - 18 - ten Schmerz zunächst bedingungslos zu akzeptieren (Urteil des Eidgenös- sischen Versicherungsgerichts [EVG, heute BGer] I 655/05 vom 20. März 2006 E. 5.4). 5.4 5.4.1 PD Dr. med. D.________ hält dafür, dass die hier interessierende Bandläsion vorwiegend degenerativ bedingt bzw. Folge einer Abnutzung durch repetitive Mikrotraumen namentlich durch intensives Mountainbiken (act. II M6) bzw. sportliche Aktivität (act. II M12) war. Dr. med. F.________ ist gleicher Meinung (act. II M24). Ersterer ist dem angefochtenen Einspra- cheentscheid vom 17. Juni 2025 (act. II A42) zufolge Mitglied des medizini- schen Dienstes der Beschwerdegegnerin (/2 E. 1.3) und Letzterer beraten- der Arzt der Generaldirektion (/8 E. 4.2.3.9). Bei den entsprechenden Be- richten handelt es sich somit um solche versicherungsinterner Ärzte (vgl. Urteil des BGer 8C_434/2023, 8C_436/2023 vom 10. April 2024 E. 4.3, nicht publ. in: BGE 150 V 188, aber in: SVR 2024 UV Nr. 27 S. 107; vgl. dazu E. 5.3.3 hiervor). 5.4.2 Demgegenüber gelangt Dr. med. E.________ zum Schluss, dass die Bandläsion des Beschwerdeführers "klar nicht überwiegend wahr- scheinlich vorwiegend degenerativ verursacht wurde" (act. II M16/4 unten). Sie begründet dies an sich plausibel. Insbesondere weist sie darauf hin, dass eine Degeneration im Bereich von Handwurzel/Handgelenk sich nicht einzig über eine isolierte SL-Bandläsion manifestiere. Im Gegenteil seien isolierte SL-Bandläsionen in der Regel traumatisch verursacht. Im Bereich des rechten Handgelenks und der rechten Handwurzel seien bildgebend keine arthrotischen Veränderungen ausgewiesen. Es könne deshalb nicht beurteilt werden, dass die SL-Bandläsion vorwiegend degenerativ verur- sacht sei. Diesbezüglich müssten diverse arthrotische Veränderungen aus- gewiesen werden. Degenerativ verursachte SL-Bandläsionen würden kei- nen Bandstumpf aufweisen. Dass beim Beschwerdeführer ein SL- Bandstumpf refixiert worden sei, spreche für eine unfallkausale und gegen eine degenerative SL-Bandläsion (act. II M16/4 oben). Daneben hält auch Dr. med. I.________ einen degenerativ bedingten Riss des scapholunären Ligaments für sehr unwahrscheinlich, dies insbesonde-</w:t>
      </w:r>
    </w:p>
    <w:p>
      <w:r>
        <w:t>Urteil des Verwaltungsgerichts des Kantons Bern vom 12. Januar 2026, UV 200 2025 451 - 19 - re bei einem 47-jährigen Patienten ohne jegliche Begleiterkrankungen und bei fehlendem Nachweis relevanter degenerativer Veränderungen im Ar- thro-MRI (act. II M11). Auch wenn es sich bei Dr. med. I.________ um den den Beschwerdeführer behandelnden Spezialarzt mit einer entsprechenden Vertrauensstellung zum Beschwerdeführer handelt, sind dessen Atteste doch in die Beweis- würdigung miteinzubeziehen (vgl. E. 5.3.4 hiervor). Dies gilt ebenso für die chirurgisch-versicherungsmedizinische Beurteilung von Dr. med. E.________ vom 2. August 2024 (act. II M16), fungiert doch diese vorlie- gend nicht als behandelnde Ärztin, jedoch als vom Beschwerdeführer be- auftragte Medizinerin. 5.4.3 Die eben wiedergegebenen Berichte (vgl. E. 5.4.2 hiervor), nament- lich jener von Dr. med. E.________, begründen zumindest geringe Zweifel an der Zuverlässigkeit und Schlüssigkeit der versicherungsinternen Stel- lungnahmen (vgl. E. 5.4.1 hiervor). Gleichzeitig vermögen Letztere nicht ohne weiteres zu überzeugen. So ist entgegen PD Dr. med. D.________ (act. II M21/4 Mitte) nicht ersichtlich, dass Dr. med. E.________ den Begriff "degenerativ" unzutreffend (im Sinne von "Krankheit") interpretiert hätte; dementsprechend vermag seine Antwort auf die Angabe von Dr. med. E.________, wonach bildgebend keine arthrotischen Veränderungen aus- gewiesen seien, für eine vorwiegend degenerative SL-Bandläsion aber diverse arthrotische Veränderungen ausgewiesen werden müssten (act. II M16/4 oben), nicht zu überzeugen. Auf das Fehlen von relevanten degenerativen Veränderungen im Arthro-MRI weist zudem auch Dr. med. I.________ hin (act. II M11), wohingegen Dr. med. F.________ ausführt, dass DISI-Instabilitäten am Handgelenk bezüglich Arthroserisiko lange Zeit gutartig verlaufen können (act. II M24/11 Ziff. 6). Sodann ist die von PD Dr. med. D.________ wie auch von Dr. med. F.________ erwähnte Korrektur des vom Beschwerdeführer beschriebenen Unfallhergangs in erster Linie massgebend für die Frage eines Unfallge- schehens im Sinne von Art. 4 ATSG (bzw. des natürlichen Kausalzusam- menhangs; vgl. dazu E. 4.2 hiervor). Für die Beurteilung, ob eine vorwie- gende Abnützung vorlag, sind indes medizinische Faktoren zentral; na- mentlich wäre von Belang, ob Vorschädigungen bestanden. Diesbezügliche</w:t>
      </w:r>
    </w:p>
    <w:p>
      <w:r>
        <w:t>Urteil des Verwaltungsgerichts des Kantons Bern vom 12. Januar 2026, UV 200 2025 451 - 20 - Angaben sind den Akten jedoch nicht zu entnehmen und wurden, wie Dr. med. F.________ zutreffend festgehalten hat (act. II M24/5), auch nicht erfragt. In diesem Zusammenhang wäre zu Vergleichszwecken eine radio- logische Abklärung des linken Handgelenks sachdienlich gewesen; eine solche war zwar vorgesehen (act. II M24/9), ist aber nicht aktenkundig. Wenn sodann Dr. med. F.________ zu der von den behandelnden Ärzten erwähnten "ungünstigen Bewegung" feststellt, das "töne" nicht nach einer heftigen Distorsionsbelastung (act. II M24/6), ist dies nicht mehr als eine Vermutung. Zudem hält Dr. med. F.________ ausdrücklich fest, dass die anamnestischen Abklärungen über eine Vorschädigung des betroffenen Handgelenks nicht befriedigend ausgefallen seien (act. II M24/7). Nicht ohne weiteres gefolgt werden kann Dr. med. F.________ schliesslich hin- sichtlich seiner Feststellung, dass die Latenz zwischen Ereignis und erster Arztkonsultation Ausdruck dafür sei, dass keine heftige Traumaenergie gewirkt habe (act. II M24/10); die zeitliche Latenz kann durchaus in dem von Dr. med. E.________ beschriebenen Umstand begründet sein, dass nicht knöcherne Handverletzungen meistens postprimär (d.h. mit Verzöge- rung) diagnostiziert werden, indem entsprechende Beschwerden haupt- sächlich bewegungs- und belastungsabhängig sind und ein Arztbesuch erst nach Schonung und persistierenden Beschwerden erfolgt (act. II M16/2). Da dies jedoch nicht erstellt ist, sondern allein eine Hypothese darstellt, kann aber auch nicht auf die Einschätzung der Dr. med. E.________ abge- stellt werden. 5.5 Zusammenfassend bestehen aufgrund der diskrepanten Einschät- zung zu allfälligen degenerativen Vorzuständen zumindest geringe Zweifel (vgl. E. 5.3.3 hiervor) an der Beurteilung der versicherungsinternen Ärzte und es kann auch nicht auf die Behandler resp. Dr. med. E.________ ab- gestellt werden. Folglich sind weitere Abklärungen vorzunehmen. Die Be- schwerdegegnerin hat eine externe Begutachtung (orthopädisch/handchi- rurgisch) zu veranlassen und anschliessend über den streitigen Leistungs- anspruch neu zu verfügen. Zu diesem Zweck sind die Akten an die Be- schwerdegegnerin zurückzuweisen. Damit ist in Gutheissung der Be- schwerde im Sinne des Eventualbegehrens der Einspracheentscheid vom 17. Juni 2025 (act. II A42) aufzuheben.</w:t>
      </w:r>
    </w:p>
    <w:p>
      <w:r>
        <w:t>Urteil des Verwaltungsgerichts des Kantons Bern vom 12. Januar 2026, UV 200 2025 451 - 21 - 6.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